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0DC5" w14:textId="13A9ACE6" w:rsidR="008F1A9D" w:rsidRP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Helvetica" w:eastAsia="ＭＳ Ｐゴシック" w:hAnsi="Helvetica" w:cs="Helvetica"/>
          <w:kern w:val="0"/>
          <w:sz w:val="24"/>
          <w:szCs w:val="24"/>
          <w:u w:val="single"/>
        </w:rPr>
      </w:pPr>
      <w:r w:rsidRPr="008F1A9D">
        <w:rPr>
          <w:rFonts w:ascii="游ゴシック" w:eastAsia="游ゴシック" w:hAnsi="游ゴシック" w:cs="Helvetica" w:hint="eastAsia"/>
          <w:kern w:val="0"/>
          <w:sz w:val="22"/>
          <w:u w:val="single"/>
        </w:rPr>
        <w:t>・義務報告におけるハザード特定と最悪の事象の設定可否</w:t>
      </w:r>
      <w:r w:rsidRPr="009343ED">
        <w:rPr>
          <w:rFonts w:ascii="游ゴシック" w:eastAsia="游ゴシック" w:hAnsi="游ゴシック" w:cs="Helvetica"/>
          <w:kern w:val="0"/>
          <w:sz w:val="22"/>
          <w:u w:val="single"/>
        </w:rPr>
        <w:br/>
      </w:r>
      <w:r w:rsidRPr="008F1A9D">
        <w:rPr>
          <w:rFonts w:ascii="游ゴシック" w:eastAsia="游ゴシック" w:hAnsi="游ゴシック" w:cs="Helvetica" w:hint="eastAsia"/>
          <w:kern w:val="0"/>
          <w:sz w:val="22"/>
          <w:u w:val="single"/>
        </w:rPr>
        <w:t>（可能であればリスク評価基準も）</w:t>
      </w:r>
    </w:p>
    <w:p w14:paraId="5488FFF9" w14:textId="77777777" w:rsid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游ゴシック" w:eastAsia="游ゴシック" w:hAnsi="游ゴシック" w:cs="Helvetica"/>
          <w:kern w:val="0"/>
          <w:sz w:val="22"/>
        </w:rPr>
      </w:pPr>
    </w:p>
    <w:p w14:paraId="215402B6" w14:textId="77777777" w:rsidR="009343ED" w:rsidRPr="009343ED" w:rsidRDefault="009343ED" w:rsidP="008F1A9D">
      <w:pPr>
        <w:widowControl/>
        <w:shd w:val="clear" w:color="auto" w:fill="FFFFFF"/>
        <w:spacing w:line="300" w:lineRule="exact"/>
        <w:jc w:val="left"/>
        <w:rPr>
          <w:rFonts w:ascii="游ゴシック" w:eastAsia="游ゴシック" w:hAnsi="游ゴシック" w:cs="Helvetica" w:hint="eastAsia"/>
          <w:kern w:val="0"/>
          <w:sz w:val="22"/>
        </w:rPr>
      </w:pPr>
    </w:p>
    <w:p w14:paraId="08BC1FD4" w14:textId="2110DAB8" w:rsidR="008F1A9D" w:rsidRP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8F1A9D">
        <w:rPr>
          <w:rFonts w:ascii="游ゴシック" w:eastAsia="游ゴシック" w:hAnsi="游ゴシック" w:cs="Helvetica" w:hint="eastAsia"/>
          <w:kern w:val="0"/>
          <w:sz w:val="22"/>
        </w:rPr>
        <w:t>発生の可能性・結果の重要度は</w:t>
      </w:r>
      <w:r w:rsidRPr="008F1A9D">
        <w:rPr>
          <w:rFonts w:ascii="Helvetica" w:eastAsia="游ゴシック" w:hAnsi="Helvetica" w:cs="Helvetica"/>
          <w:kern w:val="0"/>
          <w:sz w:val="22"/>
        </w:rPr>
        <w:t>FAA AC(Advisory Circular)120-92</w:t>
      </w:r>
      <w:r w:rsidRPr="008F1A9D">
        <w:rPr>
          <w:rFonts w:ascii="游ゴシック" w:eastAsia="游ゴシック" w:hAnsi="游ゴシック" w:cs="Helvetica" w:hint="eastAsia"/>
          <w:kern w:val="0"/>
          <w:sz w:val="22"/>
        </w:rPr>
        <w:t>を参考とし、重大度評価等の実施については以下によるものとなっている。</w:t>
      </w:r>
    </w:p>
    <w:p w14:paraId="02AD180C" w14:textId="77777777" w:rsidR="008F1A9D" w:rsidRPr="009343ED" w:rsidRDefault="008F1A9D" w:rsidP="008F1A9D">
      <w:pPr>
        <w:widowControl/>
        <w:shd w:val="clear" w:color="auto" w:fill="FFFFFF"/>
        <w:spacing w:line="300" w:lineRule="exact"/>
        <w:jc w:val="left"/>
        <w:rPr>
          <w:rFonts w:ascii="游ゴシック" w:eastAsia="游ゴシック" w:hAnsi="游ゴシック" w:cs="Helvetica"/>
          <w:kern w:val="0"/>
          <w:sz w:val="22"/>
        </w:rPr>
      </w:pPr>
    </w:p>
    <w:p w14:paraId="341DB2A7" w14:textId="45804014" w:rsidR="008F1A9D" w:rsidRP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8F1A9D">
        <w:rPr>
          <w:rFonts w:ascii="游ゴシック" w:eastAsia="游ゴシック" w:hAnsi="游ゴシック" w:cs="Helvetica" w:hint="eastAsia"/>
          <w:kern w:val="0"/>
          <w:sz w:val="22"/>
        </w:rPr>
        <w:t>●各事態報告について、内部規定に基づき「発生の可能性」、「結果の重要度」及び「原因の重要度」の評価を行っている。</w:t>
      </w:r>
    </w:p>
    <w:p w14:paraId="01C68570" w14:textId="77777777" w:rsidR="008F1A9D" w:rsidRPr="009343ED" w:rsidRDefault="008F1A9D" w:rsidP="008F1A9D">
      <w:pPr>
        <w:widowControl/>
        <w:shd w:val="clear" w:color="auto" w:fill="FFFFFF"/>
        <w:spacing w:line="300" w:lineRule="exact"/>
        <w:jc w:val="left"/>
        <w:rPr>
          <w:rFonts w:ascii="游ゴシック" w:eastAsia="游ゴシック" w:hAnsi="游ゴシック" w:cs="Helvetica"/>
          <w:kern w:val="0"/>
          <w:sz w:val="22"/>
        </w:rPr>
      </w:pPr>
    </w:p>
    <w:p w14:paraId="725B71B4" w14:textId="58EC7161" w:rsidR="008F1A9D" w:rsidRP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8F1A9D">
        <w:rPr>
          <w:rFonts w:ascii="游ゴシック" w:eastAsia="游ゴシック" w:hAnsi="游ゴシック" w:cs="Helvetica" w:hint="eastAsia"/>
          <w:kern w:val="0"/>
          <w:sz w:val="22"/>
        </w:rPr>
        <w:t>●上記評価結果を用いて、各事案の「結果の総合評価」及び「原因の総合評価」を決定している。</w:t>
      </w:r>
    </w:p>
    <w:p w14:paraId="02B1336C" w14:textId="77777777" w:rsidR="008F1A9D" w:rsidRPr="009343ED" w:rsidRDefault="008F1A9D" w:rsidP="008F1A9D">
      <w:pPr>
        <w:widowControl/>
        <w:shd w:val="clear" w:color="auto" w:fill="FFFFFF"/>
        <w:spacing w:line="300" w:lineRule="exact"/>
        <w:jc w:val="left"/>
        <w:rPr>
          <w:rFonts w:ascii="游ゴシック" w:eastAsia="游ゴシック" w:hAnsi="游ゴシック" w:cs="Helvetica"/>
          <w:kern w:val="0"/>
          <w:sz w:val="22"/>
        </w:rPr>
      </w:pPr>
    </w:p>
    <w:p w14:paraId="00E95D37" w14:textId="08953DAD" w:rsidR="008F1A9D" w:rsidRPr="008F1A9D" w:rsidRDefault="008F1A9D" w:rsidP="008F1A9D">
      <w:pPr>
        <w:widowControl/>
        <w:shd w:val="clear" w:color="auto" w:fill="FFFFFF"/>
        <w:spacing w:line="300" w:lineRule="exact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8F1A9D">
        <w:rPr>
          <w:rFonts w:ascii="游ゴシック" w:eastAsia="游ゴシック" w:hAnsi="游ゴシック" w:cs="Helvetica" w:hint="eastAsia"/>
          <w:kern w:val="0"/>
          <w:sz w:val="22"/>
        </w:rPr>
        <w:t>●</w:t>
      </w:r>
      <w:r w:rsidRPr="008F1A9D">
        <w:rPr>
          <w:rFonts w:ascii="Helvetica" w:eastAsia="游ゴシック" w:hAnsi="Helvetica" w:cs="Helvetica"/>
          <w:kern w:val="0"/>
          <w:sz w:val="22"/>
        </w:rPr>
        <w:t>HF</w:t>
      </w:r>
      <w:r w:rsidRPr="008F1A9D">
        <w:rPr>
          <w:rFonts w:ascii="游ゴシック" w:eastAsia="游ゴシック" w:hAnsi="游ゴシック" w:cs="Helvetica" w:hint="eastAsia"/>
          <w:kern w:val="0"/>
          <w:sz w:val="22"/>
        </w:rPr>
        <w:t>事案については、各義務報告における「分類、主要因」を決定している</w:t>
      </w:r>
      <w:r w:rsidR="009343ED" w:rsidRPr="009343ED">
        <w:rPr>
          <w:rFonts w:ascii="游ゴシック" w:eastAsia="游ゴシック" w:hAnsi="游ゴシック" w:cs="Helvetica" w:hint="eastAsia"/>
          <w:kern w:val="0"/>
          <w:sz w:val="22"/>
        </w:rPr>
        <w:t>。</w:t>
      </w:r>
    </w:p>
    <w:p w14:paraId="3AD3CB49" w14:textId="77777777" w:rsidR="00BD7578" w:rsidRPr="008F1A9D" w:rsidRDefault="00BD7578" w:rsidP="008F1A9D">
      <w:pPr>
        <w:spacing w:line="300" w:lineRule="exact"/>
      </w:pPr>
    </w:p>
    <w:sectPr w:rsidR="00BD7578" w:rsidRPr="008F1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9D"/>
    <w:rsid w:val="008F1A9D"/>
    <w:rsid w:val="009343ED"/>
    <w:rsid w:val="00B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8FB90"/>
  <w15:chartTrackingRefBased/>
  <w15:docId w15:val="{E24710FE-E04D-498B-A82C-5550602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正幸</dc:creator>
  <cp:keywords/>
  <dc:description/>
  <cp:lastModifiedBy>秦 正幸</cp:lastModifiedBy>
  <cp:revision>2</cp:revision>
  <dcterms:created xsi:type="dcterms:W3CDTF">2021-12-22T23:26:00Z</dcterms:created>
  <dcterms:modified xsi:type="dcterms:W3CDTF">2021-12-22T23:30:00Z</dcterms:modified>
</cp:coreProperties>
</file>